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58AF9" w14:textId="6EBD91C0" w:rsidR="00C8301A" w:rsidRDefault="008E14F1">
      <w:pPr>
        <w:pStyle w:val="BodyText"/>
        <w:spacing w:before="0"/>
        <w:ind w:left="5869" w:right="-15"/>
        <w:jc w:val="left"/>
        <w:rPr>
          <w:rFonts w:ascii="Times New Roman"/>
        </w:rPr>
      </w:pPr>
      <w:r>
        <w:rPr>
          <w:rFonts w:ascii="Times New Roman"/>
          <w:noProof/>
        </w:rPr>
        <w:drawing>
          <wp:inline distT="0" distB="0" distL="0" distR="0" wp14:anchorId="798D6935" wp14:editId="08448E17">
            <wp:extent cx="2516444" cy="742950"/>
            <wp:effectExtent l="0" t="0" r="0" b="0"/>
            <wp:docPr id="1475803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03160" name="Picture 1475803160"/>
                    <pic:cNvPicPr/>
                  </pic:nvPicPr>
                  <pic:blipFill>
                    <a:blip r:embed="rId5">
                      <a:extLst>
                        <a:ext uri="{28A0092B-C50C-407E-A947-70E740481C1C}">
                          <a14:useLocalDpi xmlns:a14="http://schemas.microsoft.com/office/drawing/2010/main" val="0"/>
                        </a:ext>
                      </a:extLst>
                    </a:blip>
                    <a:stretch>
                      <a:fillRect/>
                    </a:stretch>
                  </pic:blipFill>
                  <pic:spPr>
                    <a:xfrm>
                      <a:off x="0" y="0"/>
                      <a:ext cx="2534425" cy="748259"/>
                    </a:xfrm>
                    <a:prstGeom prst="rect">
                      <a:avLst/>
                    </a:prstGeom>
                  </pic:spPr>
                </pic:pic>
              </a:graphicData>
            </a:graphic>
          </wp:inline>
        </w:drawing>
      </w:r>
    </w:p>
    <w:p w14:paraId="49312A5A" w14:textId="77777777" w:rsidR="00C8301A" w:rsidRDefault="00C8301A">
      <w:pPr>
        <w:pStyle w:val="BodyText"/>
        <w:spacing w:before="212"/>
        <w:ind w:left="0"/>
        <w:jc w:val="left"/>
        <w:rPr>
          <w:rFonts w:ascii="Times New Roman"/>
          <w:sz w:val="28"/>
        </w:rPr>
      </w:pPr>
    </w:p>
    <w:p w14:paraId="7E32ABDD" w14:textId="77777777" w:rsidR="00C8301A" w:rsidRPr="008E14F1" w:rsidRDefault="00281705">
      <w:pPr>
        <w:pStyle w:val="Title"/>
        <w:rPr>
          <w:color w:val="502C85"/>
        </w:rPr>
      </w:pPr>
      <w:r w:rsidRPr="008E14F1">
        <w:rPr>
          <w:color w:val="502C85"/>
        </w:rPr>
        <w:t>CYBERSECURITY</w:t>
      </w:r>
      <w:r w:rsidRPr="008E14F1">
        <w:rPr>
          <w:color w:val="502C85"/>
          <w:spacing w:val="-4"/>
        </w:rPr>
        <w:t xml:space="preserve"> </w:t>
      </w:r>
      <w:r w:rsidRPr="008E14F1">
        <w:rPr>
          <w:color w:val="502C85"/>
          <w:spacing w:val="-2"/>
        </w:rPr>
        <w:t>STATEMENT</w:t>
      </w:r>
    </w:p>
    <w:p w14:paraId="78F83012" w14:textId="70C01560" w:rsidR="00C8301A" w:rsidRDefault="00281705">
      <w:pPr>
        <w:pStyle w:val="BodyText"/>
        <w:spacing w:before="148" w:line="259" w:lineRule="auto"/>
        <w:ind w:right="25"/>
      </w:pPr>
      <w:r>
        <w:t>The</w:t>
      </w:r>
      <w:r>
        <w:rPr>
          <w:spacing w:val="-7"/>
        </w:rPr>
        <w:t xml:space="preserve"> </w:t>
      </w:r>
      <w:r>
        <w:t>Restaurant</w:t>
      </w:r>
      <w:r>
        <w:rPr>
          <w:spacing w:val="-6"/>
        </w:rPr>
        <w:t xml:space="preserve"> </w:t>
      </w:r>
      <w:r>
        <w:t>Group</w:t>
      </w:r>
      <w:r>
        <w:rPr>
          <w:spacing w:val="-6"/>
        </w:rPr>
        <w:t xml:space="preserve"> </w:t>
      </w:r>
      <w:r w:rsidR="008E14F1">
        <w:rPr>
          <w:spacing w:val="-6"/>
        </w:rPr>
        <w:t xml:space="preserve">Concessions </w:t>
      </w:r>
      <w:r>
        <w:t>("TRG</w:t>
      </w:r>
      <w:r w:rsidR="008E14F1">
        <w:t>C</w:t>
      </w:r>
      <w:r>
        <w:t>")</w:t>
      </w:r>
      <w:r>
        <w:rPr>
          <w:spacing w:val="-5"/>
        </w:rPr>
        <w:t xml:space="preserve"> </w:t>
      </w:r>
      <w:r>
        <w:t>is</w:t>
      </w:r>
      <w:r>
        <w:rPr>
          <w:spacing w:val="-6"/>
        </w:rPr>
        <w:t xml:space="preserve"> </w:t>
      </w:r>
      <w:r>
        <w:t>committed</w:t>
      </w:r>
      <w:r>
        <w:rPr>
          <w:spacing w:val="-6"/>
        </w:rPr>
        <w:t xml:space="preserve"> </w:t>
      </w:r>
      <w:r>
        <w:t>to</w:t>
      </w:r>
      <w:r>
        <w:rPr>
          <w:spacing w:val="-6"/>
        </w:rPr>
        <w:t xml:space="preserve"> </w:t>
      </w:r>
      <w:r>
        <w:t>maintaining</w:t>
      </w:r>
      <w:r>
        <w:rPr>
          <w:spacing w:val="-7"/>
        </w:rPr>
        <w:t xml:space="preserve"> </w:t>
      </w:r>
      <w:r>
        <w:t>a</w:t>
      </w:r>
      <w:r>
        <w:rPr>
          <w:spacing w:val="-6"/>
        </w:rPr>
        <w:t xml:space="preserve"> </w:t>
      </w:r>
      <w:r>
        <w:t>cybersecurity</w:t>
      </w:r>
      <w:r>
        <w:rPr>
          <w:spacing w:val="-5"/>
        </w:rPr>
        <w:t xml:space="preserve"> </w:t>
      </w:r>
      <w:proofErr w:type="spellStart"/>
      <w:r>
        <w:t>programme</w:t>
      </w:r>
      <w:proofErr w:type="spellEnd"/>
      <w:r>
        <w:rPr>
          <w:spacing w:val="-7"/>
        </w:rPr>
        <w:t xml:space="preserve"> </w:t>
      </w:r>
      <w:r>
        <w:t>designed</w:t>
      </w:r>
      <w:r>
        <w:rPr>
          <w:spacing w:val="-6"/>
        </w:rPr>
        <w:t xml:space="preserve"> </w:t>
      </w:r>
      <w:r>
        <w:t>to</w:t>
      </w:r>
      <w:r>
        <w:rPr>
          <w:spacing w:val="-6"/>
        </w:rPr>
        <w:t xml:space="preserve"> </w:t>
      </w:r>
      <w:r>
        <w:t>support</w:t>
      </w:r>
      <w:r>
        <w:rPr>
          <w:spacing w:val="-8"/>
        </w:rPr>
        <w:t xml:space="preserve"> </w:t>
      </w:r>
      <w:r>
        <w:t>the confidentiality, integrity and availability of its systems, services and information.</w:t>
      </w:r>
    </w:p>
    <w:p w14:paraId="64592D3B" w14:textId="426DBD39" w:rsidR="00C8301A" w:rsidRDefault="00281705">
      <w:pPr>
        <w:pStyle w:val="BodyText"/>
        <w:spacing w:before="118" w:line="259" w:lineRule="auto"/>
        <w:ind w:right="25"/>
      </w:pPr>
      <w:r>
        <w:t>TRG</w:t>
      </w:r>
      <w:r w:rsidR="008E14F1">
        <w:t>C</w:t>
      </w:r>
      <w:r>
        <w:rPr>
          <w:spacing w:val="-12"/>
        </w:rPr>
        <w:t xml:space="preserve"> </w:t>
      </w:r>
      <w:proofErr w:type="spellStart"/>
      <w:r>
        <w:t>recognises</w:t>
      </w:r>
      <w:proofErr w:type="spellEnd"/>
      <w:r>
        <w:rPr>
          <w:spacing w:val="-11"/>
        </w:rPr>
        <w:t xml:space="preserve"> </w:t>
      </w:r>
      <w:r>
        <w:t>that</w:t>
      </w:r>
      <w:r>
        <w:rPr>
          <w:spacing w:val="-11"/>
        </w:rPr>
        <w:t xml:space="preserve"> </w:t>
      </w:r>
      <w:r>
        <w:t>cyber</w:t>
      </w:r>
      <w:r>
        <w:rPr>
          <w:spacing w:val="-12"/>
        </w:rPr>
        <w:t xml:space="preserve"> </w:t>
      </w:r>
      <w:r>
        <w:t>threats</w:t>
      </w:r>
      <w:r>
        <w:rPr>
          <w:spacing w:val="-11"/>
        </w:rPr>
        <w:t xml:space="preserve"> </w:t>
      </w:r>
      <w:r>
        <w:t>continue</w:t>
      </w:r>
      <w:r>
        <w:rPr>
          <w:spacing w:val="-11"/>
        </w:rPr>
        <w:t xml:space="preserve"> </w:t>
      </w:r>
      <w:r>
        <w:t>to</w:t>
      </w:r>
      <w:r>
        <w:rPr>
          <w:spacing w:val="-12"/>
        </w:rPr>
        <w:t xml:space="preserve"> </w:t>
      </w:r>
      <w:r>
        <w:t>evolve</w:t>
      </w:r>
      <w:r>
        <w:rPr>
          <w:spacing w:val="-11"/>
        </w:rPr>
        <w:t xml:space="preserve"> </w:t>
      </w:r>
      <w:r>
        <w:t>and,</w:t>
      </w:r>
      <w:r>
        <w:rPr>
          <w:spacing w:val="-11"/>
        </w:rPr>
        <w:t xml:space="preserve"> </w:t>
      </w:r>
      <w:r>
        <w:t>while</w:t>
      </w:r>
      <w:r>
        <w:rPr>
          <w:spacing w:val="-12"/>
        </w:rPr>
        <w:t xml:space="preserve"> </w:t>
      </w:r>
      <w:r>
        <w:t>no</w:t>
      </w:r>
      <w:r>
        <w:rPr>
          <w:spacing w:val="-11"/>
        </w:rPr>
        <w:t xml:space="preserve"> </w:t>
      </w:r>
      <w:proofErr w:type="spellStart"/>
      <w:r>
        <w:t>organisation</w:t>
      </w:r>
      <w:proofErr w:type="spellEnd"/>
      <w:r>
        <w:rPr>
          <w:spacing w:val="-11"/>
        </w:rPr>
        <w:t xml:space="preserve"> </w:t>
      </w:r>
      <w:r>
        <w:t>can</w:t>
      </w:r>
      <w:r>
        <w:rPr>
          <w:spacing w:val="-11"/>
        </w:rPr>
        <w:t xml:space="preserve"> </w:t>
      </w:r>
      <w:r>
        <w:t>eliminate</w:t>
      </w:r>
      <w:r>
        <w:rPr>
          <w:spacing w:val="-12"/>
        </w:rPr>
        <w:t xml:space="preserve"> </w:t>
      </w:r>
      <w:r>
        <w:t>cyber</w:t>
      </w:r>
      <w:r>
        <w:rPr>
          <w:spacing w:val="-11"/>
        </w:rPr>
        <w:t xml:space="preserve"> </w:t>
      </w:r>
      <w:r>
        <w:t>risk</w:t>
      </w:r>
      <w:r>
        <w:rPr>
          <w:spacing w:val="-11"/>
        </w:rPr>
        <w:t xml:space="preserve"> </w:t>
      </w:r>
      <w:r>
        <w:t>entirely, TRG</w:t>
      </w:r>
      <w:r w:rsidR="008E14F1">
        <w:t>C</w:t>
      </w:r>
      <w:r>
        <w:t xml:space="preserve"> seeks to manage that risk through a proportionate, risk-based and continually reviewed set of security controls, processes and governance arrangements.</w:t>
      </w:r>
    </w:p>
    <w:p w14:paraId="4C2912AA" w14:textId="3783D189" w:rsidR="00C8301A" w:rsidRDefault="00281705">
      <w:pPr>
        <w:pStyle w:val="BodyText"/>
        <w:spacing w:before="121" w:line="259" w:lineRule="auto"/>
        <w:ind w:right="26"/>
      </w:pPr>
      <w:r>
        <w:t>This statement provides a high-level overview of the cybersecurity measures that apply across TRG</w:t>
      </w:r>
      <w:r w:rsidR="008E14F1">
        <w:t>C</w:t>
      </w:r>
      <w:r>
        <w:t>'s directly controlled operations in the UK and Ireland. Individual divisions, brands or business units may implement additional</w:t>
      </w:r>
      <w:r>
        <w:rPr>
          <w:spacing w:val="-3"/>
        </w:rPr>
        <w:t xml:space="preserve"> </w:t>
      </w:r>
      <w:r>
        <w:t>controls</w:t>
      </w:r>
      <w:r>
        <w:rPr>
          <w:spacing w:val="-3"/>
        </w:rPr>
        <w:t xml:space="preserve"> </w:t>
      </w:r>
      <w:r>
        <w:t>or</w:t>
      </w:r>
      <w:r>
        <w:rPr>
          <w:spacing w:val="-6"/>
        </w:rPr>
        <w:t xml:space="preserve"> </w:t>
      </w:r>
      <w:r>
        <w:t>local</w:t>
      </w:r>
      <w:r>
        <w:rPr>
          <w:spacing w:val="-3"/>
        </w:rPr>
        <w:t xml:space="preserve"> </w:t>
      </w:r>
      <w:r>
        <w:t>procedures</w:t>
      </w:r>
      <w:r>
        <w:rPr>
          <w:spacing w:val="-3"/>
        </w:rPr>
        <w:t xml:space="preserve"> </w:t>
      </w:r>
      <w:r>
        <w:t>where</w:t>
      </w:r>
      <w:r>
        <w:rPr>
          <w:spacing w:val="-4"/>
        </w:rPr>
        <w:t xml:space="preserve"> </w:t>
      </w:r>
      <w:r>
        <w:t>appropriate,</w:t>
      </w:r>
      <w:r>
        <w:rPr>
          <w:spacing w:val="-1"/>
        </w:rPr>
        <w:t xml:space="preserve"> </w:t>
      </w:r>
      <w:r>
        <w:t>provided</w:t>
      </w:r>
      <w:r>
        <w:rPr>
          <w:spacing w:val="-3"/>
        </w:rPr>
        <w:t xml:space="preserve"> </w:t>
      </w:r>
      <w:r>
        <w:t>these</w:t>
      </w:r>
      <w:r>
        <w:rPr>
          <w:spacing w:val="-4"/>
        </w:rPr>
        <w:t xml:space="preserve"> </w:t>
      </w:r>
      <w:r>
        <w:t>remain</w:t>
      </w:r>
      <w:r>
        <w:rPr>
          <w:spacing w:val="-3"/>
        </w:rPr>
        <w:t xml:space="preserve"> </w:t>
      </w:r>
      <w:r>
        <w:t>consistent</w:t>
      </w:r>
      <w:r>
        <w:rPr>
          <w:spacing w:val="-3"/>
        </w:rPr>
        <w:t xml:space="preserve"> </w:t>
      </w:r>
      <w:r>
        <w:t>with</w:t>
      </w:r>
      <w:r>
        <w:rPr>
          <w:spacing w:val="-3"/>
        </w:rPr>
        <w:t xml:space="preserve"> </w:t>
      </w:r>
      <w:r>
        <w:t>TRG</w:t>
      </w:r>
      <w:r w:rsidR="008E14F1">
        <w:t>C</w:t>
      </w:r>
      <w:r>
        <w:t>'s</w:t>
      </w:r>
      <w:r>
        <w:rPr>
          <w:spacing w:val="-3"/>
        </w:rPr>
        <w:t xml:space="preserve"> </w:t>
      </w:r>
      <w:r>
        <w:t>overall security</w:t>
      </w:r>
      <w:r>
        <w:rPr>
          <w:spacing w:val="-9"/>
        </w:rPr>
        <w:t xml:space="preserve"> </w:t>
      </w:r>
      <w:r>
        <w:t>requirements.</w:t>
      </w:r>
      <w:r>
        <w:rPr>
          <w:spacing w:val="-10"/>
        </w:rPr>
        <w:t xml:space="preserve"> </w:t>
      </w:r>
      <w:r>
        <w:t>The</w:t>
      </w:r>
      <w:r>
        <w:rPr>
          <w:spacing w:val="-11"/>
        </w:rPr>
        <w:t xml:space="preserve"> </w:t>
      </w:r>
      <w:r>
        <w:t>statement</w:t>
      </w:r>
      <w:r>
        <w:rPr>
          <w:spacing w:val="-9"/>
        </w:rPr>
        <w:t xml:space="preserve"> </w:t>
      </w:r>
      <w:r>
        <w:t>describes</w:t>
      </w:r>
      <w:r>
        <w:rPr>
          <w:spacing w:val="-9"/>
        </w:rPr>
        <w:t xml:space="preserve"> </w:t>
      </w:r>
      <w:r>
        <w:t>TRG</w:t>
      </w:r>
      <w:r w:rsidR="008E14F1">
        <w:t>C</w:t>
      </w:r>
      <w:r>
        <w:t>'s</w:t>
      </w:r>
      <w:r>
        <w:rPr>
          <w:spacing w:val="-9"/>
        </w:rPr>
        <w:t xml:space="preserve"> </w:t>
      </w:r>
      <w:r>
        <w:t>general</w:t>
      </w:r>
      <w:r>
        <w:rPr>
          <w:spacing w:val="-10"/>
        </w:rPr>
        <w:t xml:space="preserve"> </w:t>
      </w:r>
      <w:r>
        <w:t>cybersecurity</w:t>
      </w:r>
      <w:r>
        <w:rPr>
          <w:spacing w:val="-9"/>
        </w:rPr>
        <w:t xml:space="preserve"> </w:t>
      </w:r>
      <w:r>
        <w:t>approach</w:t>
      </w:r>
      <w:r>
        <w:rPr>
          <w:spacing w:val="-9"/>
        </w:rPr>
        <w:t xml:space="preserve"> </w:t>
      </w:r>
      <w:r>
        <w:t>at</w:t>
      </w:r>
      <w:r>
        <w:rPr>
          <w:spacing w:val="-9"/>
        </w:rPr>
        <w:t xml:space="preserve"> </w:t>
      </w:r>
      <w:r>
        <w:t>a</w:t>
      </w:r>
      <w:r>
        <w:rPr>
          <w:spacing w:val="-10"/>
        </w:rPr>
        <w:t xml:space="preserve"> </w:t>
      </w:r>
      <w:r>
        <w:t>high</w:t>
      </w:r>
      <w:r>
        <w:rPr>
          <w:spacing w:val="-10"/>
        </w:rPr>
        <w:t xml:space="preserve"> </w:t>
      </w:r>
      <w:r>
        <w:t>level.</w:t>
      </w:r>
      <w:r>
        <w:rPr>
          <w:spacing w:val="-10"/>
        </w:rPr>
        <w:t xml:space="preserve"> </w:t>
      </w:r>
      <w:r>
        <w:t>It</w:t>
      </w:r>
      <w:r>
        <w:rPr>
          <w:spacing w:val="-10"/>
        </w:rPr>
        <w:t xml:space="preserve"> </w:t>
      </w:r>
      <w:r>
        <w:t>does</w:t>
      </w:r>
      <w:r>
        <w:rPr>
          <w:spacing w:val="-9"/>
        </w:rPr>
        <w:t xml:space="preserve"> </w:t>
      </w:r>
      <w:r>
        <w:t>not describe</w:t>
      </w:r>
      <w:r>
        <w:rPr>
          <w:spacing w:val="-12"/>
        </w:rPr>
        <w:t xml:space="preserve"> </w:t>
      </w:r>
      <w:r>
        <w:t>every</w:t>
      </w:r>
      <w:r>
        <w:rPr>
          <w:spacing w:val="-11"/>
        </w:rPr>
        <w:t xml:space="preserve"> </w:t>
      </w:r>
      <w:r>
        <w:t>control</w:t>
      </w:r>
      <w:r>
        <w:rPr>
          <w:spacing w:val="-11"/>
        </w:rPr>
        <w:t xml:space="preserve"> </w:t>
      </w:r>
      <w:r>
        <w:t>in</w:t>
      </w:r>
      <w:r>
        <w:rPr>
          <w:spacing w:val="-12"/>
        </w:rPr>
        <w:t xml:space="preserve"> </w:t>
      </w:r>
      <w:r>
        <w:t>place,</w:t>
      </w:r>
      <w:r>
        <w:rPr>
          <w:spacing w:val="-11"/>
        </w:rPr>
        <w:t xml:space="preserve"> </w:t>
      </w:r>
      <w:r>
        <w:t>and</w:t>
      </w:r>
      <w:r>
        <w:rPr>
          <w:spacing w:val="-11"/>
        </w:rPr>
        <w:t xml:space="preserve"> </w:t>
      </w:r>
      <w:r>
        <w:t>specific</w:t>
      </w:r>
      <w:r>
        <w:rPr>
          <w:spacing w:val="-12"/>
        </w:rPr>
        <w:t xml:space="preserve"> </w:t>
      </w:r>
      <w:r>
        <w:t>measures</w:t>
      </w:r>
      <w:r>
        <w:rPr>
          <w:spacing w:val="-11"/>
        </w:rPr>
        <w:t xml:space="preserve"> </w:t>
      </w:r>
      <w:r>
        <w:t>may</w:t>
      </w:r>
      <w:r>
        <w:rPr>
          <w:spacing w:val="-11"/>
        </w:rPr>
        <w:t xml:space="preserve"> </w:t>
      </w:r>
      <w:r>
        <w:t>change</w:t>
      </w:r>
      <w:r>
        <w:rPr>
          <w:spacing w:val="-12"/>
        </w:rPr>
        <w:t xml:space="preserve"> </w:t>
      </w:r>
      <w:r>
        <w:t>from</w:t>
      </w:r>
      <w:r>
        <w:rPr>
          <w:spacing w:val="-11"/>
        </w:rPr>
        <w:t xml:space="preserve"> </w:t>
      </w:r>
      <w:r>
        <w:t>time</w:t>
      </w:r>
      <w:r>
        <w:rPr>
          <w:spacing w:val="-11"/>
        </w:rPr>
        <w:t xml:space="preserve"> </w:t>
      </w:r>
      <w:r>
        <w:t>to</w:t>
      </w:r>
      <w:r>
        <w:rPr>
          <w:spacing w:val="-11"/>
        </w:rPr>
        <w:t xml:space="preserve"> </w:t>
      </w:r>
      <w:r>
        <w:t>time</w:t>
      </w:r>
      <w:r>
        <w:rPr>
          <w:spacing w:val="-12"/>
        </w:rPr>
        <w:t xml:space="preserve"> </w:t>
      </w:r>
      <w:r>
        <w:t>in</w:t>
      </w:r>
      <w:r>
        <w:rPr>
          <w:spacing w:val="-11"/>
        </w:rPr>
        <w:t xml:space="preserve"> </w:t>
      </w:r>
      <w:r>
        <w:t>line</w:t>
      </w:r>
      <w:r>
        <w:rPr>
          <w:spacing w:val="-11"/>
        </w:rPr>
        <w:t xml:space="preserve"> </w:t>
      </w:r>
      <w:r>
        <w:t>with</w:t>
      </w:r>
      <w:r>
        <w:rPr>
          <w:spacing w:val="-11"/>
        </w:rPr>
        <w:t xml:space="preserve"> </w:t>
      </w:r>
      <w:r>
        <w:t>risk,</w:t>
      </w:r>
      <w:r>
        <w:rPr>
          <w:spacing w:val="-11"/>
        </w:rPr>
        <w:t xml:space="preserve"> </w:t>
      </w:r>
      <w:r>
        <w:t>operational needs and legal or regulatory requirements.</w:t>
      </w:r>
    </w:p>
    <w:p w14:paraId="5EBDE29E" w14:textId="77777777" w:rsidR="00C8301A" w:rsidRPr="008E14F1" w:rsidRDefault="00281705">
      <w:pPr>
        <w:pStyle w:val="Heading1"/>
        <w:spacing w:before="118"/>
        <w:rPr>
          <w:color w:val="502C85"/>
        </w:rPr>
      </w:pPr>
      <w:r w:rsidRPr="008E14F1">
        <w:rPr>
          <w:color w:val="502C85"/>
        </w:rPr>
        <w:t>SECURITY</w:t>
      </w:r>
      <w:r w:rsidRPr="008E14F1">
        <w:rPr>
          <w:color w:val="502C85"/>
          <w:spacing w:val="-9"/>
        </w:rPr>
        <w:t xml:space="preserve"> </w:t>
      </w:r>
      <w:r w:rsidRPr="008E14F1">
        <w:rPr>
          <w:color w:val="502C85"/>
          <w:spacing w:val="-2"/>
        </w:rPr>
        <w:t>PRINCIPLES</w:t>
      </w:r>
    </w:p>
    <w:p w14:paraId="35AB9F97" w14:textId="09433BBF" w:rsidR="00C8301A" w:rsidRDefault="00281705">
      <w:pPr>
        <w:pStyle w:val="BodyText"/>
        <w:spacing w:before="139"/>
      </w:pPr>
      <w:r>
        <w:t>TRG</w:t>
      </w:r>
      <w:r w:rsidR="00A76CC5">
        <w:t>C</w:t>
      </w:r>
      <w:r>
        <w:t>'s</w:t>
      </w:r>
      <w:r>
        <w:rPr>
          <w:spacing w:val="-8"/>
        </w:rPr>
        <w:t xml:space="preserve"> </w:t>
      </w:r>
      <w:r>
        <w:t>cybersecurity</w:t>
      </w:r>
      <w:r>
        <w:rPr>
          <w:spacing w:val="-7"/>
        </w:rPr>
        <w:t xml:space="preserve"> </w:t>
      </w:r>
      <w:r>
        <w:t>approach</w:t>
      </w:r>
      <w:r>
        <w:rPr>
          <w:spacing w:val="-8"/>
        </w:rPr>
        <w:t xml:space="preserve"> </w:t>
      </w:r>
      <w:r>
        <w:t>is</w:t>
      </w:r>
      <w:r>
        <w:rPr>
          <w:spacing w:val="-6"/>
        </w:rPr>
        <w:t xml:space="preserve"> </w:t>
      </w:r>
      <w:r>
        <w:t>underpinned</w:t>
      </w:r>
      <w:r>
        <w:rPr>
          <w:spacing w:val="-8"/>
        </w:rPr>
        <w:t xml:space="preserve"> </w:t>
      </w:r>
      <w:r>
        <w:t>by</w:t>
      </w:r>
      <w:r>
        <w:rPr>
          <w:spacing w:val="-9"/>
        </w:rPr>
        <w:t xml:space="preserve"> </w:t>
      </w:r>
      <w:r>
        <w:t>the</w:t>
      </w:r>
      <w:r>
        <w:rPr>
          <w:spacing w:val="-8"/>
        </w:rPr>
        <w:t xml:space="preserve"> </w:t>
      </w:r>
      <w:r>
        <w:t>following</w:t>
      </w:r>
      <w:r>
        <w:rPr>
          <w:spacing w:val="-9"/>
        </w:rPr>
        <w:t xml:space="preserve"> </w:t>
      </w:r>
      <w:r>
        <w:rPr>
          <w:spacing w:val="-2"/>
        </w:rPr>
        <w:t>principles:</w:t>
      </w:r>
    </w:p>
    <w:p w14:paraId="141635AE" w14:textId="77777777" w:rsidR="00C8301A" w:rsidRDefault="00281705">
      <w:pPr>
        <w:pStyle w:val="ListParagraph"/>
        <w:numPr>
          <w:ilvl w:val="0"/>
          <w:numId w:val="1"/>
        </w:numPr>
        <w:tabs>
          <w:tab w:val="left" w:pos="743"/>
        </w:tabs>
        <w:spacing w:before="139" w:line="259" w:lineRule="auto"/>
        <w:ind w:right="24"/>
        <w:rPr>
          <w:sz w:val="20"/>
        </w:rPr>
      </w:pPr>
      <w:r>
        <w:rPr>
          <w:sz w:val="20"/>
        </w:rPr>
        <w:t>Governance</w:t>
      </w:r>
      <w:r>
        <w:rPr>
          <w:spacing w:val="-7"/>
          <w:sz w:val="20"/>
        </w:rPr>
        <w:t xml:space="preserve"> </w:t>
      </w:r>
      <w:r>
        <w:rPr>
          <w:sz w:val="20"/>
        </w:rPr>
        <w:t>and</w:t>
      </w:r>
      <w:r>
        <w:rPr>
          <w:spacing w:val="-5"/>
          <w:sz w:val="20"/>
        </w:rPr>
        <w:t xml:space="preserve"> </w:t>
      </w:r>
      <w:r>
        <w:rPr>
          <w:sz w:val="20"/>
        </w:rPr>
        <w:t>review:</w:t>
      </w:r>
      <w:r>
        <w:rPr>
          <w:spacing w:val="-3"/>
          <w:sz w:val="20"/>
        </w:rPr>
        <w:t xml:space="preserve"> </w:t>
      </w:r>
      <w:r>
        <w:rPr>
          <w:sz w:val="20"/>
        </w:rPr>
        <w:t>cybersecurity</w:t>
      </w:r>
      <w:r>
        <w:rPr>
          <w:spacing w:val="-5"/>
          <w:sz w:val="20"/>
        </w:rPr>
        <w:t xml:space="preserve"> </w:t>
      </w:r>
      <w:r>
        <w:rPr>
          <w:sz w:val="20"/>
        </w:rPr>
        <w:t>arrangements</w:t>
      </w:r>
      <w:r>
        <w:rPr>
          <w:spacing w:val="-4"/>
          <w:sz w:val="20"/>
        </w:rPr>
        <w:t xml:space="preserve"> </w:t>
      </w:r>
      <w:r>
        <w:rPr>
          <w:sz w:val="20"/>
        </w:rPr>
        <w:t>are</w:t>
      </w:r>
      <w:r>
        <w:rPr>
          <w:spacing w:val="-6"/>
          <w:sz w:val="20"/>
        </w:rPr>
        <w:t xml:space="preserve"> </w:t>
      </w:r>
      <w:r>
        <w:rPr>
          <w:sz w:val="20"/>
        </w:rPr>
        <w:t>subject</w:t>
      </w:r>
      <w:r>
        <w:rPr>
          <w:spacing w:val="-5"/>
          <w:sz w:val="20"/>
        </w:rPr>
        <w:t xml:space="preserve"> </w:t>
      </w:r>
      <w:r>
        <w:rPr>
          <w:sz w:val="20"/>
        </w:rPr>
        <w:t>to</w:t>
      </w:r>
      <w:r>
        <w:rPr>
          <w:spacing w:val="-5"/>
          <w:sz w:val="20"/>
        </w:rPr>
        <w:t xml:space="preserve"> </w:t>
      </w:r>
      <w:r>
        <w:rPr>
          <w:sz w:val="20"/>
        </w:rPr>
        <w:t>periodic</w:t>
      </w:r>
      <w:r>
        <w:rPr>
          <w:spacing w:val="-6"/>
          <w:sz w:val="20"/>
        </w:rPr>
        <w:t xml:space="preserve"> </w:t>
      </w:r>
      <w:r>
        <w:rPr>
          <w:sz w:val="20"/>
        </w:rPr>
        <w:t>review</w:t>
      </w:r>
      <w:r>
        <w:rPr>
          <w:spacing w:val="-6"/>
          <w:sz w:val="20"/>
        </w:rPr>
        <w:t xml:space="preserve"> </w:t>
      </w:r>
      <w:r>
        <w:rPr>
          <w:sz w:val="20"/>
        </w:rPr>
        <w:t>against</w:t>
      </w:r>
      <w:r>
        <w:rPr>
          <w:spacing w:val="-5"/>
          <w:sz w:val="20"/>
        </w:rPr>
        <w:t xml:space="preserve"> </w:t>
      </w:r>
      <w:proofErr w:type="spellStart"/>
      <w:r>
        <w:rPr>
          <w:sz w:val="20"/>
        </w:rPr>
        <w:t>recognised</w:t>
      </w:r>
      <w:proofErr w:type="spellEnd"/>
      <w:r>
        <w:rPr>
          <w:sz w:val="20"/>
        </w:rPr>
        <w:t xml:space="preserve"> frameworks and internal governance requirements.</w:t>
      </w:r>
    </w:p>
    <w:p w14:paraId="3316152D" w14:textId="77777777" w:rsidR="00C8301A" w:rsidRDefault="00281705">
      <w:pPr>
        <w:pStyle w:val="ListParagraph"/>
        <w:numPr>
          <w:ilvl w:val="0"/>
          <w:numId w:val="1"/>
        </w:numPr>
        <w:tabs>
          <w:tab w:val="left" w:pos="743"/>
        </w:tabs>
        <w:spacing w:line="259" w:lineRule="auto"/>
        <w:ind w:right="31"/>
        <w:rPr>
          <w:sz w:val="20"/>
        </w:rPr>
      </w:pPr>
      <w:r>
        <w:rPr>
          <w:sz w:val="20"/>
        </w:rPr>
        <w:t>Assurance: security controls are assessed through a combination of monitoring, review, audit and independent assurance activity, including technical testing where appropriate.</w:t>
      </w:r>
    </w:p>
    <w:p w14:paraId="71372554" w14:textId="7BAF3EB4" w:rsidR="00C8301A" w:rsidRDefault="00281705">
      <w:pPr>
        <w:pStyle w:val="ListParagraph"/>
        <w:numPr>
          <w:ilvl w:val="0"/>
          <w:numId w:val="1"/>
        </w:numPr>
        <w:tabs>
          <w:tab w:val="left" w:pos="743"/>
        </w:tabs>
        <w:spacing w:before="119" w:line="259" w:lineRule="auto"/>
        <w:ind w:right="31"/>
        <w:rPr>
          <w:sz w:val="20"/>
        </w:rPr>
      </w:pPr>
      <w:proofErr w:type="spellStart"/>
      <w:r>
        <w:rPr>
          <w:sz w:val="20"/>
        </w:rPr>
        <w:t>Defence</w:t>
      </w:r>
      <w:proofErr w:type="spellEnd"/>
      <w:r>
        <w:rPr>
          <w:sz w:val="20"/>
        </w:rPr>
        <w:t xml:space="preserve"> in depth: TRG</w:t>
      </w:r>
      <w:r w:rsidR="008E14F1">
        <w:rPr>
          <w:sz w:val="20"/>
        </w:rPr>
        <w:t>C</w:t>
      </w:r>
      <w:r>
        <w:rPr>
          <w:sz w:val="20"/>
        </w:rPr>
        <w:t xml:space="preserve"> maintains layered security controls across key areas such as network security, endpoint protection, identity and access management, and system administration.</w:t>
      </w:r>
    </w:p>
    <w:p w14:paraId="6B9FFA61" w14:textId="77777777" w:rsidR="00C8301A" w:rsidRDefault="00281705">
      <w:pPr>
        <w:pStyle w:val="ListParagraph"/>
        <w:numPr>
          <w:ilvl w:val="0"/>
          <w:numId w:val="1"/>
        </w:numPr>
        <w:tabs>
          <w:tab w:val="left" w:pos="743"/>
        </w:tabs>
        <w:spacing w:line="259" w:lineRule="auto"/>
        <w:rPr>
          <w:sz w:val="20"/>
        </w:rPr>
      </w:pPr>
      <w:r>
        <w:rPr>
          <w:sz w:val="20"/>
        </w:rPr>
        <w:t xml:space="preserve">Vulnerability management: processes are in place to identify, assess, </w:t>
      </w:r>
      <w:proofErr w:type="spellStart"/>
      <w:r>
        <w:rPr>
          <w:sz w:val="20"/>
        </w:rPr>
        <w:t>prioritise</w:t>
      </w:r>
      <w:proofErr w:type="spellEnd"/>
      <w:r>
        <w:rPr>
          <w:sz w:val="20"/>
        </w:rPr>
        <w:t xml:space="preserve"> and remediate vulnerabilities and to support the timely application of security patches, taking account of risk and operational requirements.</w:t>
      </w:r>
    </w:p>
    <w:p w14:paraId="7355469C" w14:textId="7357CF59" w:rsidR="00C8301A" w:rsidRDefault="00281705">
      <w:pPr>
        <w:pStyle w:val="ListParagraph"/>
        <w:numPr>
          <w:ilvl w:val="0"/>
          <w:numId w:val="1"/>
        </w:numPr>
        <w:tabs>
          <w:tab w:val="left" w:pos="743"/>
        </w:tabs>
        <w:spacing w:line="259" w:lineRule="auto"/>
        <w:ind w:right="30"/>
        <w:rPr>
          <w:sz w:val="20"/>
        </w:rPr>
      </w:pPr>
      <w:r>
        <w:rPr>
          <w:sz w:val="20"/>
        </w:rPr>
        <w:t>Incident preparedness: TRG</w:t>
      </w:r>
      <w:r w:rsidR="00A76CC5">
        <w:rPr>
          <w:sz w:val="20"/>
        </w:rPr>
        <w:t>C</w:t>
      </w:r>
      <w:r>
        <w:rPr>
          <w:sz w:val="20"/>
        </w:rPr>
        <w:t xml:space="preserve"> maintains cyber incident response procedures intended to support the identification, escalation, containment, investigation and recovery of significant cyber incidents.</w:t>
      </w:r>
    </w:p>
    <w:p w14:paraId="2982B3C0" w14:textId="77777777" w:rsidR="00C8301A" w:rsidRDefault="00281705">
      <w:pPr>
        <w:pStyle w:val="ListParagraph"/>
        <w:numPr>
          <w:ilvl w:val="0"/>
          <w:numId w:val="1"/>
        </w:numPr>
        <w:tabs>
          <w:tab w:val="left" w:pos="743"/>
        </w:tabs>
        <w:spacing w:line="259" w:lineRule="auto"/>
        <w:rPr>
          <w:sz w:val="20"/>
        </w:rPr>
      </w:pPr>
      <w:r>
        <w:rPr>
          <w:sz w:val="20"/>
        </w:rPr>
        <w:t>Awareness and</w:t>
      </w:r>
      <w:r>
        <w:rPr>
          <w:spacing w:val="-1"/>
          <w:sz w:val="20"/>
        </w:rPr>
        <w:t xml:space="preserve"> </w:t>
      </w:r>
      <w:r>
        <w:rPr>
          <w:sz w:val="20"/>
        </w:rPr>
        <w:t>responsibilities: colleagues are</w:t>
      </w:r>
      <w:r>
        <w:rPr>
          <w:spacing w:val="-2"/>
          <w:sz w:val="20"/>
        </w:rPr>
        <w:t xml:space="preserve"> </w:t>
      </w:r>
      <w:r>
        <w:rPr>
          <w:sz w:val="20"/>
        </w:rPr>
        <w:t>expected</w:t>
      </w:r>
      <w:r>
        <w:rPr>
          <w:spacing w:val="-1"/>
          <w:sz w:val="20"/>
        </w:rPr>
        <w:t xml:space="preserve"> </w:t>
      </w:r>
      <w:r>
        <w:rPr>
          <w:sz w:val="20"/>
        </w:rPr>
        <w:t>to</w:t>
      </w:r>
      <w:r>
        <w:rPr>
          <w:spacing w:val="-1"/>
          <w:sz w:val="20"/>
        </w:rPr>
        <w:t xml:space="preserve"> </w:t>
      </w:r>
      <w:r>
        <w:rPr>
          <w:sz w:val="20"/>
        </w:rPr>
        <w:t>support</w:t>
      </w:r>
      <w:r>
        <w:rPr>
          <w:spacing w:val="-2"/>
          <w:sz w:val="20"/>
        </w:rPr>
        <w:t xml:space="preserve"> </w:t>
      </w:r>
      <w:r>
        <w:rPr>
          <w:sz w:val="20"/>
        </w:rPr>
        <w:t>cybersecurity through</w:t>
      </w:r>
      <w:r>
        <w:rPr>
          <w:spacing w:val="-1"/>
          <w:sz w:val="20"/>
        </w:rPr>
        <w:t xml:space="preserve"> </w:t>
      </w:r>
      <w:r>
        <w:rPr>
          <w:sz w:val="20"/>
        </w:rPr>
        <w:t>compliance with applicable policies, standards and awareness requirements.</w:t>
      </w:r>
    </w:p>
    <w:p w14:paraId="1636A7F1" w14:textId="0ABA75AF" w:rsidR="00C8301A" w:rsidRDefault="00281705">
      <w:pPr>
        <w:pStyle w:val="ListParagraph"/>
        <w:numPr>
          <w:ilvl w:val="0"/>
          <w:numId w:val="1"/>
        </w:numPr>
        <w:tabs>
          <w:tab w:val="left" w:pos="743"/>
        </w:tabs>
        <w:spacing w:before="119" w:line="259" w:lineRule="auto"/>
        <w:rPr>
          <w:sz w:val="20"/>
        </w:rPr>
      </w:pPr>
      <w:r>
        <w:rPr>
          <w:sz w:val="20"/>
        </w:rPr>
        <w:t>Third-party risk management: security considerations form part of TRG</w:t>
      </w:r>
      <w:r w:rsidR="00A76CC5">
        <w:rPr>
          <w:sz w:val="20"/>
        </w:rPr>
        <w:t>C</w:t>
      </w:r>
      <w:r>
        <w:rPr>
          <w:sz w:val="20"/>
        </w:rPr>
        <w:t>'s due diligence and risk assessment processes for relevant suppliers, systems and services.</w:t>
      </w:r>
    </w:p>
    <w:p w14:paraId="49D57E33" w14:textId="3A7EF1A4" w:rsidR="00C8301A" w:rsidRDefault="00281705">
      <w:pPr>
        <w:pStyle w:val="ListParagraph"/>
        <w:numPr>
          <w:ilvl w:val="0"/>
          <w:numId w:val="1"/>
        </w:numPr>
        <w:tabs>
          <w:tab w:val="left" w:pos="743"/>
        </w:tabs>
        <w:spacing w:line="259" w:lineRule="auto"/>
        <w:ind w:right="29"/>
        <w:rPr>
          <w:sz w:val="20"/>
        </w:rPr>
      </w:pPr>
      <w:r>
        <w:rPr>
          <w:sz w:val="20"/>
        </w:rPr>
        <w:t>Resilience and recovery: TRG</w:t>
      </w:r>
      <w:r w:rsidR="008E14F1">
        <w:rPr>
          <w:sz w:val="20"/>
        </w:rPr>
        <w:t>C</w:t>
      </w:r>
      <w:r>
        <w:rPr>
          <w:sz w:val="20"/>
        </w:rPr>
        <w:t xml:space="preserve"> maintains business continuity and disaster recovery arrangements, including the testing of recovery capabilities on a periodic and risk-based basis.</w:t>
      </w:r>
    </w:p>
    <w:p w14:paraId="1E574677" w14:textId="33090270" w:rsidR="00C8301A" w:rsidRDefault="00281705">
      <w:pPr>
        <w:pStyle w:val="ListParagraph"/>
        <w:numPr>
          <w:ilvl w:val="0"/>
          <w:numId w:val="1"/>
        </w:numPr>
        <w:tabs>
          <w:tab w:val="left" w:pos="743"/>
        </w:tabs>
        <w:spacing w:before="119" w:line="254" w:lineRule="auto"/>
        <w:ind w:right="30"/>
        <w:rPr>
          <w:sz w:val="20"/>
        </w:rPr>
      </w:pPr>
      <w:r>
        <w:rPr>
          <w:sz w:val="20"/>
        </w:rPr>
        <w:t>Continuous improvement: TRG</w:t>
      </w:r>
      <w:r w:rsidR="008E14F1">
        <w:rPr>
          <w:sz w:val="20"/>
        </w:rPr>
        <w:t>C</w:t>
      </w:r>
      <w:r>
        <w:rPr>
          <w:sz w:val="20"/>
        </w:rPr>
        <w:t xml:space="preserve"> reviews and develops its cybersecurity arrangements over time in response to changes in technology, business operations, threat landscape and legal or regulatory </w:t>
      </w:r>
      <w:r>
        <w:rPr>
          <w:spacing w:val="-2"/>
          <w:sz w:val="20"/>
        </w:rPr>
        <w:t>expectations.</w:t>
      </w:r>
    </w:p>
    <w:p w14:paraId="15371834" w14:textId="77777777" w:rsidR="00C8301A" w:rsidRPr="008E14F1" w:rsidRDefault="00281705">
      <w:pPr>
        <w:pStyle w:val="Heading1"/>
        <w:spacing w:before="120"/>
        <w:rPr>
          <w:color w:val="502C85"/>
        </w:rPr>
      </w:pPr>
      <w:r w:rsidRPr="008E14F1">
        <w:rPr>
          <w:color w:val="502C85"/>
        </w:rPr>
        <w:t>COMPLIANCE</w:t>
      </w:r>
      <w:r w:rsidRPr="008E14F1">
        <w:rPr>
          <w:color w:val="502C85"/>
          <w:spacing w:val="-7"/>
        </w:rPr>
        <w:t xml:space="preserve"> </w:t>
      </w:r>
      <w:r w:rsidRPr="008E14F1">
        <w:rPr>
          <w:color w:val="502C85"/>
        </w:rPr>
        <w:t>AND</w:t>
      </w:r>
      <w:r w:rsidRPr="008E14F1">
        <w:rPr>
          <w:color w:val="502C85"/>
          <w:spacing w:val="-9"/>
        </w:rPr>
        <w:t xml:space="preserve"> </w:t>
      </w:r>
      <w:r w:rsidRPr="008E14F1">
        <w:rPr>
          <w:color w:val="502C85"/>
          <w:spacing w:val="-2"/>
        </w:rPr>
        <w:t>ACCOUNTABILITY</w:t>
      </w:r>
    </w:p>
    <w:p w14:paraId="7DA8359D" w14:textId="244D09D5" w:rsidR="00C8301A" w:rsidRDefault="00281705">
      <w:pPr>
        <w:pStyle w:val="BodyText"/>
        <w:spacing w:before="135" w:line="259" w:lineRule="auto"/>
        <w:ind w:right="32"/>
      </w:pPr>
      <w:r>
        <w:t>TRG</w:t>
      </w:r>
      <w:r w:rsidR="008E14F1">
        <w:t>C</w:t>
      </w:r>
      <w:r>
        <w:t xml:space="preserve"> expects all colleagues, contractors and other relevant users of its systems to comply with applicable cybersecurity policies, standards and procedures.</w:t>
      </w:r>
    </w:p>
    <w:p w14:paraId="391DC71D" w14:textId="77777777" w:rsidR="00C8301A" w:rsidRDefault="00C8301A">
      <w:pPr>
        <w:pStyle w:val="BodyText"/>
        <w:spacing w:line="259" w:lineRule="auto"/>
        <w:sectPr w:rsidR="00C8301A">
          <w:type w:val="continuous"/>
          <w:pgSz w:w="11910" w:h="16840"/>
          <w:pgMar w:top="80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466C7FC6" w14:textId="77777777" w:rsidR="00C8301A" w:rsidRDefault="00281705">
      <w:pPr>
        <w:pStyle w:val="BodyText"/>
        <w:spacing w:before="43" w:line="259" w:lineRule="auto"/>
        <w:ind w:right="30"/>
      </w:pPr>
      <w:r>
        <w:lastRenderedPageBreak/>
        <w:t>Suspected breaches of security requirements, or any actual or suspected cybersecurity incidents, must be reported through the appropriate internal channels without undue delay so that they can be assessed and managed promptly.</w:t>
      </w:r>
    </w:p>
    <w:p w14:paraId="4B6E9968" w14:textId="70E535C7" w:rsidR="00C8301A" w:rsidRDefault="00281705">
      <w:pPr>
        <w:pStyle w:val="BodyText"/>
        <w:spacing w:before="119" w:line="259" w:lineRule="auto"/>
        <w:ind w:right="33"/>
      </w:pPr>
      <w:r>
        <w:t>Non-compliance may be investigated and addressed in accordance with TRG</w:t>
      </w:r>
      <w:r w:rsidR="008E14F1">
        <w:t>C</w:t>
      </w:r>
      <w:r>
        <w:t>'s internal policies, contractual arrangements and governance processes.</w:t>
      </w:r>
    </w:p>
    <w:p w14:paraId="6D0019BF" w14:textId="77777777" w:rsidR="00C8301A" w:rsidRPr="008E14F1" w:rsidRDefault="00281705">
      <w:pPr>
        <w:pStyle w:val="Heading1"/>
        <w:spacing w:before="121"/>
        <w:jc w:val="left"/>
        <w:rPr>
          <w:color w:val="502C85"/>
        </w:rPr>
      </w:pPr>
      <w:r w:rsidRPr="008E14F1">
        <w:rPr>
          <w:color w:val="502C85"/>
          <w:spacing w:val="-2"/>
        </w:rPr>
        <w:t>EXCEPTIONS</w:t>
      </w:r>
    </w:p>
    <w:p w14:paraId="37E8B4F7" w14:textId="21F937FA" w:rsidR="00C8301A" w:rsidRDefault="00281705">
      <w:pPr>
        <w:pStyle w:val="BodyText"/>
        <w:spacing w:before="139" w:line="256" w:lineRule="auto"/>
        <w:ind w:right="36"/>
      </w:pPr>
      <w:r>
        <w:t>Where a legitimate business need requires an exception to a TRG</w:t>
      </w:r>
      <w:r w:rsidR="008E14F1">
        <w:t>C</w:t>
      </w:r>
      <w:r>
        <w:t xml:space="preserve"> cybersecurity requirement, that exception must be subject to documented review, approval and periodic reassessment by the appropriate stakeholders.</w:t>
      </w:r>
    </w:p>
    <w:p w14:paraId="757335E1" w14:textId="77777777" w:rsidR="00C8301A" w:rsidRDefault="00281705">
      <w:pPr>
        <w:pStyle w:val="BodyText"/>
        <w:spacing w:before="124" w:line="259" w:lineRule="auto"/>
        <w:ind w:right="25"/>
      </w:pPr>
      <w:r>
        <w:t>Approved exceptions should be limited in scope, time-bound where possible, and supported by any compensating controls considered necessary to manage resulting risk.</w:t>
      </w:r>
    </w:p>
    <w:p w14:paraId="5FE6E3E2" w14:textId="77777777" w:rsidR="00C8301A" w:rsidRDefault="00C8301A">
      <w:pPr>
        <w:pStyle w:val="BodyText"/>
        <w:spacing w:before="140"/>
        <w:ind w:left="0"/>
        <w:jc w:val="left"/>
      </w:pPr>
    </w:p>
    <w:p w14:paraId="37C14BB7" w14:textId="77777777" w:rsidR="00C8301A" w:rsidRDefault="00281705">
      <w:pPr>
        <w:ind w:left="23"/>
        <w:jc w:val="both"/>
        <w:rPr>
          <w:b/>
          <w:sz w:val="20"/>
        </w:rPr>
      </w:pPr>
      <w:proofErr w:type="gramStart"/>
      <w:r>
        <w:rPr>
          <w:b/>
          <w:sz w:val="20"/>
        </w:rPr>
        <w:t>Reviewed</w:t>
      </w:r>
      <w:proofErr w:type="gramEnd"/>
      <w:r>
        <w:rPr>
          <w:b/>
          <w:sz w:val="20"/>
        </w:rPr>
        <w:t>:</w:t>
      </w:r>
      <w:r>
        <w:rPr>
          <w:b/>
          <w:spacing w:val="-8"/>
          <w:sz w:val="20"/>
        </w:rPr>
        <w:t xml:space="preserve"> </w:t>
      </w:r>
      <w:r>
        <w:rPr>
          <w:b/>
          <w:sz w:val="20"/>
        </w:rPr>
        <w:t>July</w:t>
      </w:r>
      <w:r>
        <w:rPr>
          <w:b/>
          <w:spacing w:val="-7"/>
          <w:sz w:val="20"/>
        </w:rPr>
        <w:t xml:space="preserve"> </w:t>
      </w:r>
      <w:r>
        <w:rPr>
          <w:b/>
          <w:spacing w:val="-4"/>
          <w:sz w:val="20"/>
        </w:rPr>
        <w:t>2026</w:t>
      </w:r>
    </w:p>
    <w:p w14:paraId="0D827391" w14:textId="204213AB" w:rsidR="00C8301A" w:rsidRDefault="00281705">
      <w:pPr>
        <w:spacing w:before="17"/>
        <w:ind w:left="23"/>
        <w:jc w:val="both"/>
        <w:rPr>
          <w:b/>
          <w:sz w:val="20"/>
        </w:rPr>
      </w:pPr>
      <w:r>
        <w:rPr>
          <w:b/>
          <w:sz w:val="20"/>
        </w:rPr>
        <w:t>Approved</w:t>
      </w:r>
      <w:r>
        <w:rPr>
          <w:b/>
          <w:spacing w:val="-5"/>
          <w:sz w:val="20"/>
        </w:rPr>
        <w:t xml:space="preserve"> </w:t>
      </w:r>
      <w:r>
        <w:rPr>
          <w:b/>
          <w:sz w:val="20"/>
        </w:rPr>
        <w:t>by</w:t>
      </w:r>
      <w:r>
        <w:rPr>
          <w:b/>
          <w:spacing w:val="-6"/>
          <w:sz w:val="20"/>
        </w:rPr>
        <w:t xml:space="preserve"> </w:t>
      </w:r>
      <w:r>
        <w:rPr>
          <w:b/>
          <w:sz w:val="20"/>
        </w:rPr>
        <w:t>the</w:t>
      </w:r>
      <w:r>
        <w:rPr>
          <w:b/>
          <w:spacing w:val="-5"/>
          <w:sz w:val="20"/>
        </w:rPr>
        <w:t xml:space="preserve"> </w:t>
      </w:r>
      <w:r>
        <w:rPr>
          <w:b/>
          <w:sz w:val="20"/>
        </w:rPr>
        <w:t>TRG</w:t>
      </w:r>
      <w:r w:rsidR="008E14F1">
        <w:rPr>
          <w:b/>
          <w:sz w:val="20"/>
        </w:rPr>
        <w:t>C</w:t>
      </w:r>
      <w:r>
        <w:rPr>
          <w:b/>
          <w:spacing w:val="-4"/>
          <w:sz w:val="20"/>
        </w:rPr>
        <w:t xml:space="preserve"> </w:t>
      </w:r>
      <w:r>
        <w:rPr>
          <w:b/>
          <w:sz w:val="20"/>
        </w:rPr>
        <w:t>Board:</w:t>
      </w:r>
      <w:r>
        <w:rPr>
          <w:b/>
          <w:spacing w:val="-4"/>
          <w:sz w:val="20"/>
        </w:rPr>
        <w:t xml:space="preserve"> </w:t>
      </w:r>
      <w:r>
        <w:rPr>
          <w:b/>
          <w:sz w:val="20"/>
        </w:rPr>
        <w:t>16</w:t>
      </w:r>
      <w:r>
        <w:rPr>
          <w:b/>
          <w:spacing w:val="-5"/>
          <w:sz w:val="20"/>
        </w:rPr>
        <w:t xml:space="preserve"> </w:t>
      </w:r>
      <w:r>
        <w:rPr>
          <w:b/>
          <w:sz w:val="20"/>
        </w:rPr>
        <w:t>July</w:t>
      </w:r>
      <w:r>
        <w:rPr>
          <w:b/>
          <w:spacing w:val="-6"/>
          <w:sz w:val="20"/>
        </w:rPr>
        <w:t xml:space="preserve"> </w:t>
      </w:r>
      <w:r>
        <w:rPr>
          <w:b/>
          <w:spacing w:val="-4"/>
          <w:sz w:val="20"/>
        </w:rPr>
        <w:t>2026</w:t>
      </w:r>
    </w:p>
    <w:sectPr w:rsidR="00C8301A">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423771"/>
    <w:multiLevelType w:val="hybridMultilevel"/>
    <w:tmpl w:val="EF345420"/>
    <w:lvl w:ilvl="0" w:tplc="EA72A77E">
      <w:numFmt w:val="bullet"/>
      <w:lvlText w:val=""/>
      <w:lvlJc w:val="left"/>
      <w:pPr>
        <w:ind w:left="743" w:hanging="360"/>
      </w:pPr>
      <w:rPr>
        <w:rFonts w:ascii="Symbol" w:eastAsia="Symbol" w:hAnsi="Symbol" w:cs="Symbol" w:hint="default"/>
        <w:b w:val="0"/>
        <w:bCs w:val="0"/>
        <w:i w:val="0"/>
        <w:iCs w:val="0"/>
        <w:spacing w:val="0"/>
        <w:w w:val="99"/>
        <w:sz w:val="20"/>
        <w:szCs w:val="20"/>
        <w:lang w:val="en-US" w:eastAsia="en-US" w:bidi="ar-SA"/>
      </w:rPr>
    </w:lvl>
    <w:lvl w:ilvl="1" w:tplc="13FA9D94">
      <w:numFmt w:val="bullet"/>
      <w:lvlText w:val="•"/>
      <w:lvlJc w:val="left"/>
      <w:pPr>
        <w:ind w:left="1573" w:hanging="360"/>
      </w:pPr>
      <w:rPr>
        <w:rFonts w:hint="default"/>
        <w:lang w:val="en-US" w:eastAsia="en-US" w:bidi="ar-SA"/>
      </w:rPr>
    </w:lvl>
    <w:lvl w:ilvl="2" w:tplc="D386460A">
      <w:numFmt w:val="bullet"/>
      <w:lvlText w:val="•"/>
      <w:lvlJc w:val="left"/>
      <w:pPr>
        <w:ind w:left="2406" w:hanging="360"/>
      </w:pPr>
      <w:rPr>
        <w:rFonts w:hint="default"/>
        <w:lang w:val="en-US" w:eastAsia="en-US" w:bidi="ar-SA"/>
      </w:rPr>
    </w:lvl>
    <w:lvl w:ilvl="3" w:tplc="4192FD90">
      <w:numFmt w:val="bullet"/>
      <w:lvlText w:val="•"/>
      <w:lvlJc w:val="left"/>
      <w:pPr>
        <w:ind w:left="3239" w:hanging="360"/>
      </w:pPr>
      <w:rPr>
        <w:rFonts w:hint="default"/>
        <w:lang w:val="en-US" w:eastAsia="en-US" w:bidi="ar-SA"/>
      </w:rPr>
    </w:lvl>
    <w:lvl w:ilvl="4" w:tplc="1DAA8140">
      <w:numFmt w:val="bullet"/>
      <w:lvlText w:val="•"/>
      <w:lvlJc w:val="left"/>
      <w:pPr>
        <w:ind w:left="4072" w:hanging="360"/>
      </w:pPr>
      <w:rPr>
        <w:rFonts w:hint="default"/>
        <w:lang w:val="en-US" w:eastAsia="en-US" w:bidi="ar-SA"/>
      </w:rPr>
    </w:lvl>
    <w:lvl w:ilvl="5" w:tplc="064865AA">
      <w:numFmt w:val="bullet"/>
      <w:lvlText w:val="•"/>
      <w:lvlJc w:val="left"/>
      <w:pPr>
        <w:ind w:left="4906" w:hanging="360"/>
      </w:pPr>
      <w:rPr>
        <w:rFonts w:hint="default"/>
        <w:lang w:val="en-US" w:eastAsia="en-US" w:bidi="ar-SA"/>
      </w:rPr>
    </w:lvl>
    <w:lvl w:ilvl="6" w:tplc="83BAFEBA">
      <w:numFmt w:val="bullet"/>
      <w:lvlText w:val="•"/>
      <w:lvlJc w:val="left"/>
      <w:pPr>
        <w:ind w:left="5739" w:hanging="360"/>
      </w:pPr>
      <w:rPr>
        <w:rFonts w:hint="default"/>
        <w:lang w:val="en-US" w:eastAsia="en-US" w:bidi="ar-SA"/>
      </w:rPr>
    </w:lvl>
    <w:lvl w:ilvl="7" w:tplc="C45CA6E6">
      <w:numFmt w:val="bullet"/>
      <w:lvlText w:val="•"/>
      <w:lvlJc w:val="left"/>
      <w:pPr>
        <w:ind w:left="6572" w:hanging="360"/>
      </w:pPr>
      <w:rPr>
        <w:rFonts w:hint="default"/>
        <w:lang w:val="en-US" w:eastAsia="en-US" w:bidi="ar-SA"/>
      </w:rPr>
    </w:lvl>
    <w:lvl w:ilvl="8" w:tplc="5636DE54">
      <w:numFmt w:val="bullet"/>
      <w:lvlText w:val="•"/>
      <w:lvlJc w:val="left"/>
      <w:pPr>
        <w:ind w:left="7405" w:hanging="360"/>
      </w:pPr>
      <w:rPr>
        <w:rFonts w:hint="default"/>
        <w:lang w:val="en-US" w:eastAsia="en-US" w:bidi="ar-SA"/>
      </w:rPr>
    </w:lvl>
  </w:abstractNum>
  <w:num w:numId="1" w16cid:durableId="1530070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1A"/>
    <w:rsid w:val="008E14F1"/>
    <w:rsid w:val="00A76CC5"/>
    <w:rsid w:val="00C8301A"/>
    <w:rsid w:val="00D247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8C8A6"/>
  <w15:docId w15:val="{DDDC439C-F472-4AAB-AB3C-1862CD4B0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
      <w:jc w:val="both"/>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23"/>
      <w:jc w:val="both"/>
    </w:pPr>
    <w:rPr>
      <w:sz w:val="20"/>
      <w:szCs w:val="20"/>
    </w:rPr>
  </w:style>
  <w:style w:type="paragraph" w:styleId="Title">
    <w:name w:val="Title"/>
    <w:basedOn w:val="Normal"/>
    <w:uiPriority w:val="10"/>
    <w:qFormat/>
    <w:pPr>
      <w:ind w:left="2"/>
      <w:jc w:val="center"/>
    </w:pPr>
    <w:rPr>
      <w:b/>
      <w:bCs/>
      <w:sz w:val="28"/>
      <w:szCs w:val="28"/>
    </w:rPr>
  </w:style>
  <w:style w:type="paragraph" w:styleId="ListParagraph">
    <w:name w:val="List Paragraph"/>
    <w:basedOn w:val="Normal"/>
    <w:uiPriority w:val="1"/>
    <w:qFormat/>
    <w:pPr>
      <w:spacing w:before="120"/>
      <w:ind w:left="743" w:right="28"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3349</Characters>
  <Application>Microsoft Office Word</Application>
  <DocSecurity>4</DocSecurity>
  <Lines>54</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Holland</dc:creator>
  <cp:lastModifiedBy>Zahra Mukadam</cp:lastModifiedBy>
  <cp:revision>2</cp:revision>
  <dcterms:created xsi:type="dcterms:W3CDTF">2026-08-10T14:08:00Z</dcterms:created>
  <dcterms:modified xsi:type="dcterms:W3CDTF">2026-08-10T14:08:00Z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2026-07-20T00:00:00Z</vt:filetime>
  </property>
  <property fmtid="{D5CDD505-2E9C-101B-9397-08002B2CF9AE}" pid="3" name="Creator">
    <vt:lpwstr>Microsoft® Word for Microsoft 365</vt:lpwstr>
  </property>
  <property fmtid="{D5CDD505-2E9C-101B-9397-08002B2CF9AE}" pid="4" name="LastSaved">
    <vt:filetime>2026-07-28T00:00:00Z</vt:filetime>
  </property>
  <property fmtid="{D5CDD505-2E9C-101B-9397-08002B2CF9AE}" pid="5" name="Producer">
    <vt:lpwstr>Microsoft® Word for Microsoft 365</vt:lpwstr>
  </property>
</Properties>
</file>